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67624" w:rsidRDefault="00967624">
      <w:pPr>
        <w:spacing w:line="360" w:lineRule="auto"/>
        <w:rPr>
          <w:rFonts w:ascii="Arial" w:eastAsia="Arial" w:hAnsi="Arial" w:cs="Arial"/>
        </w:rPr>
      </w:pPr>
    </w:p>
    <w:p w14:paraId="00000002" w14:textId="5711B975" w:rsidR="00967624" w:rsidRDefault="00E9789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LICITACIÓN </w:t>
      </w:r>
      <w:r w:rsidRPr="00E17BBF">
        <w:rPr>
          <w:rFonts w:ascii="Arial" w:eastAsia="Arial" w:hAnsi="Arial" w:cs="Arial"/>
          <w:sz w:val="24"/>
          <w:szCs w:val="24"/>
        </w:rPr>
        <w:t xml:space="preserve">PÚBLICA Nº </w:t>
      </w:r>
      <w:sdt>
        <w:sdtPr>
          <w:tag w:val="goog_rdk_0"/>
          <w:id w:val="-889262924"/>
        </w:sdtPr>
        <w:sdtEndPr/>
        <w:sdtContent/>
      </w:sdt>
      <w:r w:rsidR="00E17BBF" w:rsidRPr="00E17BBF">
        <w:rPr>
          <w:rFonts w:ascii="Arial" w:eastAsia="Arial" w:hAnsi="Arial" w:cs="Arial"/>
          <w:sz w:val="24"/>
          <w:szCs w:val="24"/>
        </w:rPr>
        <w:t>006</w:t>
      </w:r>
      <w:r w:rsidRPr="00E17BBF">
        <w:rPr>
          <w:rFonts w:ascii="Arial" w:eastAsia="Arial" w:hAnsi="Arial" w:cs="Arial"/>
          <w:sz w:val="24"/>
          <w:szCs w:val="24"/>
        </w:rPr>
        <w:t>/2023</w:t>
      </w:r>
    </w:p>
    <w:p w14:paraId="00000003" w14:textId="77777777" w:rsidR="00967624" w:rsidRDefault="00E9789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PLIEGO DE CONDICIONES PARTICULARES Y ESPECIFICACIONES TÉCNICAS</w:t>
      </w:r>
    </w:p>
    <w:p w14:paraId="00000007" w14:textId="77777777" w:rsidR="00967624" w:rsidRPr="00E17BBF" w:rsidRDefault="00E97898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OBJETO: </w:t>
      </w:r>
      <w:r w:rsidRPr="00E17BBF">
        <w:rPr>
          <w:rFonts w:ascii="Arial" w:eastAsia="Arial" w:hAnsi="Arial" w:cs="Arial"/>
          <w:b/>
          <w:sz w:val="24"/>
          <w:szCs w:val="24"/>
        </w:rPr>
        <w:t xml:space="preserve">Microscopio </w:t>
      </w:r>
      <w:proofErr w:type="spellStart"/>
      <w:r w:rsidRPr="00E17BBF">
        <w:rPr>
          <w:rFonts w:ascii="Arial" w:eastAsia="Arial" w:hAnsi="Arial" w:cs="Arial"/>
          <w:b/>
          <w:sz w:val="24"/>
          <w:szCs w:val="24"/>
        </w:rPr>
        <w:t>Confocal</w:t>
      </w:r>
      <w:proofErr w:type="spellEnd"/>
    </w:p>
    <w:p w14:paraId="3CFF1CBB" w14:textId="77777777" w:rsidR="0009578A" w:rsidRDefault="0009578A" w:rsidP="00990BB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9DAF8A" w14:textId="01D2FD26" w:rsidR="00990BBB" w:rsidRPr="00990BBB" w:rsidRDefault="009A610F" w:rsidP="00990BB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CIRCULAR Nº 1</w:t>
      </w:r>
    </w:p>
    <w:p w14:paraId="66171717" w14:textId="29904EA3" w:rsidR="00990BBB" w:rsidRDefault="00990BBB">
      <w:pPr>
        <w:spacing w:after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Dentro de las especificaciones técnicas detalladas en la Licitación Pública Nº 006/2023 </w:t>
      </w:r>
      <w:r w:rsidR="00056C57">
        <w:rPr>
          <w:rFonts w:ascii="Arial" w:eastAsia="Arial" w:hAnsi="Arial" w:cs="Arial"/>
          <w:sz w:val="24"/>
          <w:szCs w:val="24"/>
        </w:rPr>
        <w:t xml:space="preserve">cuyo objeto es la adquisición de un microscopio </w:t>
      </w:r>
      <w:proofErr w:type="spellStart"/>
      <w:r w:rsidR="00056C57">
        <w:rPr>
          <w:rFonts w:ascii="Arial" w:eastAsia="Arial" w:hAnsi="Arial" w:cs="Arial"/>
          <w:sz w:val="24"/>
          <w:szCs w:val="24"/>
        </w:rPr>
        <w:t>confocal</w:t>
      </w:r>
      <w:proofErr w:type="spellEnd"/>
      <w:r w:rsidR="00056C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solicita: </w:t>
      </w:r>
    </w:p>
    <w:p w14:paraId="0000000A" w14:textId="21183A47" w:rsidR="00967624" w:rsidRDefault="00E97898">
      <w:pPr>
        <w:spacing w:after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4" w14:textId="398079D4" w:rsidR="00967624" w:rsidRDefault="00E97898">
      <w:pPr>
        <w:numPr>
          <w:ilvl w:val="0"/>
          <w:numId w:val="3"/>
        </w:numPr>
        <w:spacing w:after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Sistema de medición del tiempo de vida de fluorescencia (FLIM).  Captura y en combinación con la medición de la intensidad de fluorescencia estándar, separar hasta 2 o más canales de señal.</w:t>
      </w:r>
      <w:r w:rsidR="00990B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Separar los componentes basados en el tiempo de vida en diferentes canales o mediante </w:t>
      </w:r>
      <w:proofErr w:type="spellStart"/>
      <w:r>
        <w:rPr>
          <w:rFonts w:ascii="Arial" w:eastAsia="Arial" w:hAnsi="Arial" w:cs="Arial"/>
          <w:sz w:val="24"/>
          <w:szCs w:val="24"/>
        </w:rPr>
        <w:t>fasores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espectrales. </w:t>
      </w:r>
    </w:p>
    <w:p w14:paraId="10CE9129" w14:textId="77777777" w:rsidR="00990BBB" w:rsidRDefault="00990BBB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22DB4D78" w14:textId="153F6D39" w:rsidR="00990BBB" w:rsidRPr="00990BBB" w:rsidRDefault="00990BBB" w:rsidP="00990BBB">
      <w:pPr>
        <w:spacing w:after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da por válido el reemplazo del s</w:t>
      </w:r>
      <w:r>
        <w:rPr>
          <w:rFonts w:ascii="Arial" w:eastAsia="Arial" w:hAnsi="Arial" w:cs="Arial"/>
          <w:sz w:val="24"/>
          <w:szCs w:val="24"/>
        </w:rPr>
        <w:t>istema de medición del tiempo de vida de fluorescencia (FLIM)</w:t>
      </w:r>
      <w:r>
        <w:rPr>
          <w:rFonts w:ascii="Arial" w:eastAsia="Arial" w:hAnsi="Arial" w:cs="Arial"/>
          <w:sz w:val="24"/>
          <w:szCs w:val="24"/>
        </w:rPr>
        <w:t xml:space="preserve"> por</w:t>
      </w:r>
      <w:r w:rsidRPr="00990B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métodos alternativos como </w:t>
      </w:r>
      <w:r w:rsidRPr="00990BBB">
        <w:rPr>
          <w:rFonts w:ascii="Arial" w:eastAsia="Arial" w:hAnsi="Arial" w:cs="Arial"/>
          <w:sz w:val="24"/>
          <w:szCs w:val="24"/>
        </w:rPr>
        <w:t xml:space="preserve">la técnica de </w:t>
      </w:r>
      <w:proofErr w:type="spellStart"/>
      <w:r w:rsidRPr="00990BBB">
        <w:rPr>
          <w:rFonts w:ascii="Arial" w:eastAsia="Arial" w:hAnsi="Arial" w:cs="Arial"/>
          <w:sz w:val="24"/>
          <w:szCs w:val="24"/>
        </w:rPr>
        <w:t>fasores</w:t>
      </w:r>
      <w:proofErr w:type="spellEnd"/>
      <w:r w:rsidRPr="00990BBB">
        <w:rPr>
          <w:rFonts w:ascii="Arial" w:eastAsia="Arial" w:hAnsi="Arial" w:cs="Arial"/>
          <w:sz w:val="24"/>
          <w:szCs w:val="24"/>
        </w:rPr>
        <w:t xml:space="preserve"> por análisis </w:t>
      </w:r>
      <w:proofErr w:type="spellStart"/>
      <w:r w:rsidRPr="00990BBB">
        <w:rPr>
          <w:rFonts w:ascii="Arial" w:eastAsia="Arial" w:hAnsi="Arial" w:cs="Arial"/>
          <w:sz w:val="24"/>
          <w:szCs w:val="24"/>
        </w:rPr>
        <w:t>hyper</w:t>
      </w:r>
      <w:proofErr w:type="spellEnd"/>
      <w:r w:rsidRPr="00990BBB">
        <w:rPr>
          <w:rFonts w:ascii="Arial" w:eastAsia="Arial" w:hAnsi="Arial" w:cs="Arial"/>
          <w:sz w:val="24"/>
          <w:szCs w:val="24"/>
        </w:rPr>
        <w:t xml:space="preserve"> espectral mediante 34 canales </w:t>
      </w:r>
      <w:proofErr w:type="spellStart"/>
      <w:r w:rsidRPr="00990BBB">
        <w:rPr>
          <w:rFonts w:ascii="Arial" w:eastAsia="Arial" w:hAnsi="Arial" w:cs="Arial"/>
          <w:sz w:val="24"/>
          <w:szCs w:val="24"/>
        </w:rPr>
        <w:t>confocales</w:t>
      </w:r>
      <w:proofErr w:type="spellEnd"/>
      <w:r w:rsidRPr="00990B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la </w:t>
      </w:r>
    </w:p>
    <w:p w14:paraId="5237C178" w14:textId="37B18CA1" w:rsidR="00990BBB" w:rsidRDefault="00990BBB" w:rsidP="00990BBB">
      <w:pPr>
        <w:spacing w:after="62"/>
        <w:rPr>
          <w:rFonts w:ascii="Arial" w:eastAsia="Arial" w:hAnsi="Arial" w:cs="Arial"/>
          <w:sz w:val="24"/>
          <w:szCs w:val="24"/>
        </w:rPr>
      </w:pPr>
      <w:proofErr w:type="gramStart"/>
      <w:r w:rsidRPr="00990BBB">
        <w:rPr>
          <w:rFonts w:ascii="Arial" w:eastAsia="Arial" w:hAnsi="Arial" w:cs="Arial"/>
          <w:sz w:val="24"/>
          <w:szCs w:val="24"/>
        </w:rPr>
        <w:t>separación</w:t>
      </w:r>
      <w:proofErr w:type="gramEnd"/>
      <w:r w:rsidRPr="00990BBB">
        <w:rPr>
          <w:rFonts w:ascii="Arial" w:eastAsia="Arial" w:hAnsi="Arial" w:cs="Arial"/>
          <w:sz w:val="24"/>
          <w:szCs w:val="24"/>
        </w:rPr>
        <w:t xml:space="preserve"> de marcas y/o fluore</w:t>
      </w:r>
      <w:bookmarkStart w:id="0" w:name="_GoBack"/>
      <w:bookmarkEnd w:id="0"/>
      <w:r w:rsidRPr="00990BBB">
        <w:rPr>
          <w:rFonts w:ascii="Arial" w:eastAsia="Arial" w:hAnsi="Arial" w:cs="Arial"/>
          <w:sz w:val="24"/>
          <w:szCs w:val="24"/>
        </w:rPr>
        <w:t>scencia.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16CC77E" w14:textId="77777777" w:rsidR="00990BBB" w:rsidRDefault="00990BBB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352DFFCC" w14:textId="77777777" w:rsidR="00990BBB" w:rsidRDefault="00990BBB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5FA38EE2" w14:textId="651C0B5C" w:rsidR="00990BBB" w:rsidRDefault="00990BBB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20444345" w14:textId="77777777" w:rsidR="0009578A" w:rsidRDefault="0009578A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75D5801C" w14:textId="77777777" w:rsidR="0009578A" w:rsidRDefault="0009578A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1AA0AE68" w14:textId="77777777" w:rsidR="0009578A" w:rsidRDefault="0009578A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214F8567" w14:textId="77777777" w:rsidR="0009578A" w:rsidRDefault="0009578A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p w14:paraId="02BD8E0C" w14:textId="77777777" w:rsidR="0009578A" w:rsidRDefault="0009578A" w:rsidP="00990BBB">
      <w:pPr>
        <w:spacing w:after="62"/>
        <w:rPr>
          <w:rFonts w:ascii="Arial" w:eastAsia="Arial" w:hAnsi="Arial" w:cs="Arial"/>
          <w:sz w:val="24"/>
          <w:szCs w:val="24"/>
        </w:rPr>
      </w:pPr>
    </w:p>
    <w:sectPr w:rsidR="0009578A">
      <w:headerReference w:type="default" r:id="rId9"/>
      <w:footerReference w:type="default" r:id="rId10"/>
      <w:pgSz w:w="11906" w:h="16838"/>
      <w:pgMar w:top="1417" w:right="1701" w:bottom="1417" w:left="1701" w:header="510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E" w15:done="0"/>
  <w15:commentEx w15:paraId="0000007F" w15:done="0"/>
  <w15:commentEx w15:paraId="00000080" w15:done="0"/>
  <w15:commentEx w15:paraId="00000081" w15:done="0"/>
  <w15:commentEx w15:paraId="000000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E146" w14:textId="77777777" w:rsidR="002D420D" w:rsidRDefault="002D420D">
      <w:pPr>
        <w:spacing w:after="0" w:line="240" w:lineRule="auto"/>
      </w:pPr>
      <w:r>
        <w:separator/>
      </w:r>
    </w:p>
  </w:endnote>
  <w:endnote w:type="continuationSeparator" w:id="0">
    <w:p w14:paraId="348EEC2A" w14:textId="77777777" w:rsidR="002D420D" w:rsidRDefault="002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D" w14:textId="77777777" w:rsidR="00967624" w:rsidRDefault="009676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100E" w14:textId="77777777" w:rsidR="002D420D" w:rsidRDefault="002D420D">
      <w:pPr>
        <w:spacing w:after="0" w:line="240" w:lineRule="auto"/>
      </w:pPr>
      <w:r>
        <w:separator/>
      </w:r>
    </w:p>
  </w:footnote>
  <w:footnote w:type="continuationSeparator" w:id="0">
    <w:p w14:paraId="6BBB5AA1" w14:textId="77777777" w:rsidR="002D420D" w:rsidRDefault="002D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B" w14:textId="77777777" w:rsidR="00967624" w:rsidRDefault="009676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000007C" w14:textId="77777777" w:rsidR="00967624" w:rsidRDefault="009676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5B04"/>
    <w:multiLevelType w:val="multilevel"/>
    <w:tmpl w:val="F948E9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61AB"/>
    <w:multiLevelType w:val="multilevel"/>
    <w:tmpl w:val="6AC0B98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ind w:left="1364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F72A26"/>
    <w:multiLevelType w:val="multilevel"/>
    <w:tmpl w:val="75328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D220988"/>
    <w:multiLevelType w:val="multilevel"/>
    <w:tmpl w:val="D1A2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A05"/>
    <w:multiLevelType w:val="multilevel"/>
    <w:tmpl w:val="F9EA20B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327D9A"/>
    <w:multiLevelType w:val="multilevel"/>
    <w:tmpl w:val="A618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624"/>
    <w:rsid w:val="00056C57"/>
    <w:rsid w:val="0009578A"/>
    <w:rsid w:val="002D420D"/>
    <w:rsid w:val="008B238A"/>
    <w:rsid w:val="00967624"/>
    <w:rsid w:val="00990BBB"/>
    <w:rsid w:val="009A610F"/>
    <w:rsid w:val="00E17BBF"/>
    <w:rsid w:val="00E97898"/>
    <w:rsid w:val="00E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spacing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3855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A4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47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7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78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4D4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336B6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336B6"/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spacing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3855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A4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47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7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78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4D4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336B6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336B6"/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4+Kb/XMsQEp4lVeyBPDERDAwhQ==">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MarcelaLaprei</dc:creator>
  <cp:lastModifiedBy>Usuario</cp:lastModifiedBy>
  <cp:revision>5</cp:revision>
  <cp:lastPrinted>2023-12-06T10:59:00Z</cp:lastPrinted>
  <dcterms:created xsi:type="dcterms:W3CDTF">2023-12-06T10:54:00Z</dcterms:created>
  <dcterms:modified xsi:type="dcterms:W3CDTF">2023-12-06T14:46:00Z</dcterms:modified>
</cp:coreProperties>
</file>